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40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40"/>
        </w:rPr>
        <w:t>2017年昆明理工大学</w:t>
      </w: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40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40"/>
        </w:rPr>
        <w:t>“五四”合唱比赛评分细则</w:t>
      </w:r>
    </w:p>
    <w:p>
      <w:pPr>
        <w:spacing w:line="360" w:lineRule="auto"/>
        <w:ind w:firstLine="560"/>
        <w:rPr>
          <w:rFonts w:ascii="仿宋_GB2312" w:hAnsi="仿宋" w:eastAsia="仿宋_GB2312" w:cs="仿宋"/>
          <w:kern w:val="0"/>
          <w:sz w:val="40"/>
          <w:szCs w:val="40"/>
        </w:rPr>
      </w:pP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仿宋"/>
          <w:sz w:val="28"/>
          <w:szCs w:val="28"/>
        </w:rPr>
        <w:t>委采取百分制打分，分数精确到小数点后2位（0.01），各队得分是去掉最高分和最低分后的平均值，各项根据如下细则评分：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一、精神面貌（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）：学生精神饱满、富有朝气，队型排列合理；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二、指  挥（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）：指挥节奏正确，与伴奏音乐的速度一致，动作大方、到位，具有带动力；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三、准  确(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20分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)：音准、节奏正确、与指挥的动作配合默契；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四、音  质(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20分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)：吐字清楚，发音正确、音质美，音色富有变化、声音统一，整体和谐；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五、表现力、感染力(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20分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)： 能大胆、自信地歌唱，投入感情、有适当的表情，动作自然、适宜；  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六、服装、伴奏（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）：演出服装整齐、统一，音响伴奏清楚、选择合适；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七、整体效果（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10分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）：具有韵律感、风格感,作品整体表现出的艺术效果较强，具有一定的感染力 ；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八、若演唱时间超出10分钟，将进行超时扣分。</w:t>
      </w:r>
    </w:p>
    <w:p>
      <w:pPr>
        <w:spacing w:line="360" w:lineRule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59C4"/>
    <w:rsid w:val="389659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2017-03-28T00:52:00Z</dcterms:created>
  <dc:creator>lenovo</dc:creator>
  <cp:lastModifiedBy>lenovo</cp:lastModifiedBy>
  <dcterms:modified xsi:type="dcterms:W3CDTF">2017-03-28T00:52:42Z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